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14. КУЛЬТУРА РИСКОВ И КОММУНИКАЦИИ: РИСК-ОРИЕНТИРОВАННОЕ МЫШЛЕНИЕ И FRAUD RISK MANAGEMENT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Введение: Почему лучшие технические модели терпят крах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предыдущих лекциях мы подробно изучили математические модели, международные стандарты ISO 31000 и COSO ERM, инструменты количественной оценки (Монте-Карло, VaR) и стратегии хеджирования. Однако многолетняя мировая практика показывает парадоксальный факт: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даже самая совершенная математическая модель риск-менеджмента бессильна, если в компании отсутствует здоровая корпоративная культура рисков.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Крупнейшие финансовые крахи современности (например, банкротство банка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Barings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из-за несанкционированных спекуляций трейдера Ника Лисона или скандал с фальсификацией отчетности в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Wells Fargo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происходили не из-за отсутствия формул или регламентов, а из-за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«слепоты» руководства, сокрытия информации на местах и токсичной корпоративной культуры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где сотрудники боялись сообщать о возникающих проблемах.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данной лекции мы разберем понятие культуры рисков, принципы проактивных коммуникаций и методы противодействия внутреннему мошенничеству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Fraud Risk Management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Понятие культуры рисков (Risk Culture)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Что такое культура рисков? Это не плакаты на стенах офиса и не формальные подписи под инструкциями.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Культура рисков (Risk Culture)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совокупность общих ценностей, убеждений, знаний, отношений и поведенческих норм всех сотрудников организации, которые определяют их отношение к рискам, готовность открыто обсуждать угрозы и способность принимать взвешенные рискориентированные решения.</w:t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2.1. Четыре ключевых элемента здоровой культуры рисков: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ЭЛЕМЕНТЫ ЗДОРОВОЙ КУЛЬТУРЫ РИСКОВ</w:t>
        <w:br w:type="textWrapping"/>
        <w:t xml:space="preserve">                                              |</w:t>
        <w:br w:type="textWrapping"/>
        <w:t xml:space="preserve">         +------------------+-----------------+-----------------+------------------+</w:t>
        <w:br w:type="textWrapping"/>
        <w:t xml:space="preserve">         |                  |                                   |                  |</w:t>
        <w:br w:type="textWrapping"/>
        <w:t xml:space="preserve">         v                  v                                   v                  v</w:t>
        <w:br w:type="textWrapping"/>
        <w:t xml:space="preserve">   1. Tone at the Top     2. Открытость и                     3. Подотчетность     4. Непрерывное</w:t>
        <w:br w:type="textWrapping"/>
        <w:t xml:space="preserve">   • Личный пример        транспарентность                    (Accountability)     обучение</w:t>
        <w:br w:type="textWrapping"/>
        <w:t xml:space="preserve">     топ-менеджмента      • Отсутствие страха перед           • Четкие зоны        • Регулярные тренинги</w:t>
        <w:br w:type="textWrapping"/>
        <w:t xml:space="preserve">   • Следование           наказанием за честное               ответственности      • Разбор кейсов</w:t>
        <w:br w:type="textWrapping"/>
        <w:t xml:space="preserve">     политикам            сообщение о проблемах               за инциденты         прошлых ошибок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Tone at the Top («Тон сверху»):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Поведение Совета директоров и правления задает стандарт для всей компании. Если руководство игнорирует правила ради быстрой прибыли, сотрудники будут делать то же самое.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Открытость (Speak-Up Culture):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Культура, в которой рядовой сотрудник не боится сообщить своему руководителю или в службу комплаенс о замеченном сбое, риске или нарушении регламента.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Подотчетность: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Четкое понимание каждым работником того, за какие риски в своем процессе он отвечает и какие лимиты не имеет права превышать.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Непрерывное обучение: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Интеграция вопросов риск-менеджмента в программы адаптации и профессионального развития персонала.</w:t>
      </w:r>
    </w:p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Психологические ловушки и когнитивные искажения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 оценке рисков люди часто руководствуются не холодным расчетом, а психологическими стереотипами. Понимание этих искажений критически важно для риск-менеджера: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Предвзятость подтверждения (Confirmation Bias):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Тенденция искать и замечать только те данные, которые подтверждают правильность текущей стратегии, игнорируя тревожные сигналы.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Эффект невозвратных затрат (Sunk Cost Fallacy):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Продолжение рискованного проекта или инвестиций только потому, что в него уже вложено много денег и времени («мы не можем остановиться сейчас»).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Эвристика доступности (Availability Heuristic):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Переоценка вероятности риска только потому, что аналогичное событие недавно произошло у конкурентов или ярко освещалось в СМИ.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Групповое мышление (Groupthink):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Подавление личного мнения экспертами ради сохранения психологического комфорта и бесконфликтности в коллективе.</w:t>
      </w:r>
    </w:p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Управление риском мошенничества (Fraud Risk Management)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Особое место в структуре операционных и комплаенс-рисков занимает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риск мошенничества и коррупции (Fraud Risk)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 В отличие от технических сбоев или стихийных бедствий, мошенничество совершается людьми умышленно для извлечения личной выгоды в ущерб компании.</w:t>
      </w:r>
    </w:p>
    <w:p w:rsidR="00000000" w:rsidDel="00000000" w:rsidP="00000000" w:rsidRDefault="00000000" w:rsidRPr="00000000" w14:paraId="0000001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4.1. Классическая модель «Треугольник мошенничества» (Fraud Triangle)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Разработанная криминологом Дональдом Кресси модель объясняет три условия, при одновременном совпадении которых человек решается на мошенничество: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ТРЕУГОЛЬНИК МОШЕННИЧЕСТВА Д. КРЕССИ</w:t>
        <w:br w:type="textWrapping"/>
        <w:t xml:space="preserve">                           </w:t>
        <w:br w:type="textWrapping"/>
        <w:t xml:space="preserve">                                     [ ДАВЛЕНИЕ ]</w:t>
        <w:br w:type="textWrapping"/>
        <w:t xml:space="preserve">                           (Финансовые трудности, долги,</w:t>
        <w:br w:type="textWrapping"/>
        <w:t xml:space="preserve">                            нереалистичные KPI руководства)</w:t>
        <w:br w:type="textWrapping"/>
        <w:t xml:space="preserve">                                       /        \</w:t>
        <w:br w:type="textWrapping"/>
        <w:t xml:space="preserve">                                      /          \</w:t>
        <w:br w:type="textWrapping"/>
        <w:t xml:space="preserve">                                     /            \</w:t>
        <w:br w:type="textWrapping"/>
        <w:t xml:space="preserve">                                    /              \</w:t>
        <w:br w:type="textWrapping"/>
        <w:t xml:space="preserve">                                   /                \</w:t>
        <w:br w:type="textWrapping"/>
        <w:t xml:space="preserve">             [ ВОЗМОЖНОСТЬ ]      --------------------      [ РАЦИОНАЛИЗАЦИЯ ]</w:t>
        <w:br w:type="textWrapping"/>
        <w:t xml:space="preserve">             (Слабый контроль,                              («Я заслужил это»,</w:t>
        <w:br w:type="textWrapping"/>
        <w:t xml:space="preserve">              доступ к активам,                              «компания богатая,</w:t>
        <w:br w:type="textWrapping"/>
        <w:t xml:space="preserve">              отсутствие аудита)                              от одного раза не убудет»)</w:t>
        <w:br w:type="textWrapping"/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Для минимизации риска мошенничества компания должна воздействовать на каждую вершину треугольника: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Снижение давления: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Установление реалистичных планов и достойной оплаты труда.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Устранение возможностей: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Жесткий внутренний контроль, разделение обязанностей, проведение инвентаризаций.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Борьба с рационализацией: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Формирование нетерпимости к любым формам неэтичного поведения, кодекс корпоративной этики.</w:t>
      </w:r>
    </w:p>
    <w:p w:rsidR="00000000" w:rsidDel="00000000" w:rsidP="00000000" w:rsidRDefault="00000000" w:rsidRPr="00000000" w14:paraId="0000002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Инструменты выявления и предотвращения мошенничества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Комплаенс-контроль и проверка контрагентов (Due Diligence):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Автоматическая проверка новых контрагентов на предмет аффилированности с сотрудниками компании, наличия судебных споров и признаков «однодневок».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Анонимная линия доверия (Whistleblowing Hotline):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Организация независимого канала связи (телефон, email, защищенный портал), через который сотрудники могут анонимно сообщить о фактах коррупции, хищений или нарушений этики без страха преследования.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Форензик (Forensic Accounting / Цифровая криминалистика):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Проведение углубленных расследований подохранительными или аудиторскими методами при обнаружении признаков вывода активов.</w:t>
      </w:r>
    </w:p>
    <w:p w:rsidR="00000000" w:rsidDel="00000000" w:rsidP="00000000" w:rsidRDefault="00000000" w:rsidRPr="00000000" w14:paraId="0000002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Коммуникации в риск-менеджменте: Отчетность для Совета директоров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Эффективный риск-менеджмент невозможен без прозрачных и регулярных коммуникаций. Информация о рисках должна двигаться в двух направлениях: снизу вверх (эскалация инцидентов) и сверху вниз (трансляция аппетита к риску).</w:t>
      </w:r>
    </w:p>
    <w:p w:rsidR="00000000" w:rsidDel="00000000" w:rsidP="00000000" w:rsidRDefault="00000000" w:rsidRPr="00000000" w14:paraId="0000002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Главные правила риск-отчетности для топ-менеджмента: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Краткость и наглядность: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Использование дашбордов и тепловых карт (Risk Heat Map) вместо многостраничных текстовых отчетов.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Фокус на изменениях: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Отчет должен подчеркивать, какие риски перешли в «красную зону», какие мероприятия выполнены и каков текущий остаточный риск.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Своевременность эскалации: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Критические инциденты не должны дожидаться планового квартального отчета — они эскалируются руководству немедленно.</w:t>
      </w:r>
    </w:p>
    <w:p w:rsidR="00000000" w:rsidDel="00000000" w:rsidP="00000000" w:rsidRDefault="00000000" w:rsidRPr="00000000" w14:paraId="0000002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7. Заключение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Культура рисков и эффективные коммуникации — это клей, скрепляющий все элементы корпоративной системы управления рисками. Здоровая атмосфера открытости, понимание когнитивных искажений персонала и выстроенная система противодействия мошенничеству (Fraud Risk Management) позволяют компании вовремя замечать угрозы и предотвращать кризисы.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следующей, финальной 15-й лекции мы подведем итоги курса и рассмотрим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Мониторинг, отчетность и будущее риск-менеджмента (влияние Big Data и искусственного интеллекта)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